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主要指标解释</w:t>
      </w:r>
    </w:p>
    <w:p>
      <w:pPr>
        <w:rPr>
          <w:rFonts w:hint="eastAsia"/>
          <w:lang w:eastAsia="zh-CN"/>
        </w:rPr>
      </w:pPr>
    </w:p>
    <w:p>
      <w:pPr>
        <w:keepNext w:val="0"/>
        <w:keepLines w:val="0"/>
        <w:pageBreakBefore w:val="0"/>
        <w:widowControl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一、单位基本情况</w:t>
      </w:r>
    </w:p>
    <w:p>
      <w:pPr>
        <w:keepNext w:val="0"/>
        <w:keepLines w:val="0"/>
        <w:pageBreakBefore w:val="0"/>
        <w:widowControl w:val="0"/>
        <w:kinsoku/>
        <w:wordWrap/>
        <w:overflowPunct/>
        <w:topLinePunct w:val="0"/>
        <w:autoSpaceDE/>
        <w:autoSpaceDN/>
        <w:bidi w:val="0"/>
        <w:snapToGrid w:val="0"/>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lang w:val="en-US" w:eastAsia="zh-CN"/>
        </w:rPr>
        <w:t>单位详细名称：</w:t>
      </w:r>
      <w:r>
        <w:rPr>
          <w:rFonts w:hint="eastAsia" w:ascii="仿宋" w:hAnsi="仿宋" w:eastAsia="仿宋" w:cs="仿宋"/>
          <w:sz w:val="30"/>
          <w:szCs w:val="30"/>
        </w:rPr>
        <w:t>指经有关部门批准正式使用的单位全称。企业的详细名称按市场监管部门登记的名称填写；机关、事业单位的详细名称按编制部门登记、批准的名称填写；社会团体、民办非企业单位、基金会、宗教活动</w:t>
      </w:r>
      <w:bookmarkStart w:id="0" w:name="_GoBack"/>
      <w:bookmarkEnd w:id="0"/>
      <w:r>
        <w:rPr>
          <w:rFonts w:hint="eastAsia" w:ascii="仿宋" w:hAnsi="仿宋" w:eastAsia="仿宋" w:cs="仿宋"/>
          <w:sz w:val="30"/>
          <w:szCs w:val="30"/>
        </w:rPr>
        <w:t>场所法人和基层群众自治组织的详细名称按民政部门登记、批准的名称填写。其他单位按相关部门登记、批准的名称填写。填写时要求使用规范化中文，并与单位公章所使用的名称完全一致，不得使用简称、缩写等。</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lang w:eastAsia="zh-CN"/>
        </w:rPr>
        <w:t>统一社会信用代码：</w:t>
      </w:r>
      <w:r>
        <w:rPr>
          <w:rFonts w:hint="eastAsia" w:ascii="仿宋" w:hAnsi="仿宋" w:eastAsia="仿宋" w:cs="仿宋"/>
          <w:kern w:val="0"/>
          <w:sz w:val="30"/>
          <w:szCs w:val="30"/>
        </w:rPr>
        <w:t>指按照《国务院关于批转发展改革委等部门法人和其他组织统一社会信用代码制度建设总体方案的通知》（国发〔2015〕33号）规定，由赋码主管部门给</w:t>
      </w:r>
      <w:r>
        <w:rPr>
          <w:rFonts w:hint="eastAsia" w:ascii="仿宋" w:hAnsi="仿宋" w:eastAsia="仿宋" w:cs="仿宋"/>
          <w:sz w:val="30"/>
          <w:szCs w:val="30"/>
        </w:rPr>
        <w:t>每一个法人单位和其他组织颁发的在全国范围内唯一的、终身不变的法定身份识别码。在填写时，要按照《营业执照》或其他证照上的统一社会信用代码填写。尚未领取统一社会信用代码的单位，由统计部门赋予统计用临时代码。</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sz w:val="30"/>
          <w:szCs w:val="30"/>
          <w:lang w:eastAsia="zh-CN"/>
        </w:rPr>
      </w:pPr>
      <w:r>
        <w:rPr>
          <w:rFonts w:hint="eastAsia" w:ascii="仿宋" w:hAnsi="仿宋" w:eastAsia="仿宋" w:cs="仿宋"/>
          <w:b/>
          <w:bCs/>
          <w:sz w:val="30"/>
          <w:szCs w:val="30"/>
          <w:lang w:eastAsia="zh-CN"/>
        </w:rPr>
        <w:t>单位唯一码：</w:t>
      </w:r>
      <w:r>
        <w:rPr>
          <w:rFonts w:hint="eastAsia" w:ascii="仿宋" w:hAnsi="仿宋" w:eastAsia="仿宋" w:cs="仿宋"/>
          <w:sz w:val="30"/>
          <w:szCs w:val="30"/>
          <w:lang w:eastAsia="zh-CN"/>
        </w:rPr>
        <w:t>由各省级分会整理报表时填写，填写规则见《企业数据脱敏流程》。</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lang w:eastAsia="zh-CN"/>
        </w:rPr>
        <w:t>单位注册地：</w:t>
      </w:r>
      <w:r>
        <w:rPr>
          <w:rFonts w:hint="eastAsia" w:ascii="仿宋" w:hAnsi="仿宋" w:eastAsia="仿宋" w:cs="仿宋"/>
          <w:sz w:val="30"/>
          <w:szCs w:val="30"/>
        </w:rPr>
        <w:t>指单位在审批登记部门登记注册的地址。</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单位类型：</w:t>
      </w:r>
      <w:r>
        <w:rPr>
          <w:rFonts w:hint="eastAsia" w:ascii="仿宋" w:hAnsi="仿宋" w:eastAsia="仿宋" w:cs="仿宋"/>
          <w:b w:val="0"/>
          <w:bCs w:val="0"/>
          <w:sz w:val="30"/>
          <w:szCs w:val="30"/>
          <w:lang w:eastAsia="zh-CN"/>
        </w:rPr>
        <w:t>拍卖企业指</w:t>
      </w:r>
      <w:r>
        <w:rPr>
          <w:rFonts w:hint="eastAsia" w:ascii="仿宋" w:hAnsi="仿宋" w:eastAsia="仿宋" w:cs="仿宋"/>
          <w:sz w:val="30"/>
          <w:szCs w:val="30"/>
          <w:lang w:val="en-US" w:eastAsia="zh-CN"/>
        </w:rPr>
        <w:t>受各级人民法院委托，专门从事司法拍卖辅助服务工作的单位，包含独立成立的拍辅公司；内设拍辅部门的一般拍卖企业。非拍卖企业指与各级人民法院签订正式委托协议、实际开展司法拍卖辅助业务的非拍卖企业。</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eastAsia="zh-CN"/>
        </w:rPr>
        <w:t>单位规模：</w:t>
      </w:r>
      <w:r>
        <w:rPr>
          <w:rFonts w:hint="eastAsia" w:ascii="仿宋" w:hAnsi="仿宋" w:eastAsia="仿宋" w:cs="仿宋"/>
          <w:b w:val="0"/>
          <w:bCs w:val="0"/>
          <w:sz w:val="30"/>
          <w:szCs w:val="30"/>
          <w:lang w:eastAsia="zh-CN"/>
        </w:rPr>
        <w:t>单位规模按从业人员划分，大型＞</w:t>
      </w:r>
      <w:r>
        <w:rPr>
          <w:rFonts w:hint="eastAsia" w:ascii="仿宋" w:hAnsi="仿宋" w:eastAsia="仿宋" w:cs="仿宋"/>
          <w:b w:val="0"/>
          <w:bCs w:val="0"/>
          <w:sz w:val="30"/>
          <w:szCs w:val="30"/>
          <w:lang w:val="en-US" w:eastAsia="zh-CN"/>
        </w:rPr>
        <w:t>100人；中型31-100人；小型9-30人；微型≤8人。</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sz w:val="30"/>
          <w:szCs w:val="30"/>
        </w:rPr>
      </w:pPr>
      <w:r>
        <w:rPr>
          <w:rFonts w:hint="eastAsia" w:ascii="仿宋" w:hAnsi="仿宋" w:eastAsia="仿宋" w:cs="仿宋"/>
          <w:b/>
          <w:bCs/>
          <w:sz w:val="30"/>
          <w:szCs w:val="30"/>
          <w:lang w:val="en-US" w:eastAsia="zh-CN"/>
        </w:rPr>
        <w:t>从业人员期末人数：</w:t>
      </w:r>
      <w:r>
        <w:rPr>
          <w:rFonts w:hint="eastAsia" w:ascii="仿宋" w:hAnsi="仿宋" w:eastAsia="仿宋" w:cs="仿宋"/>
          <w:sz w:val="30"/>
          <w:szCs w:val="30"/>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lang w:eastAsia="zh-CN"/>
        </w:rPr>
      </w:pPr>
      <w:r>
        <w:rPr>
          <w:rFonts w:hint="eastAsia" w:ascii="仿宋" w:hAnsi="仿宋" w:eastAsia="仿宋" w:cs="仿宋"/>
          <w:b/>
          <w:bCs/>
          <w:sz w:val="30"/>
          <w:szCs w:val="30"/>
          <w:lang w:eastAsia="zh-CN"/>
        </w:rPr>
        <w:t>拍卖师：</w:t>
      </w:r>
      <w:r>
        <w:rPr>
          <w:rFonts w:hint="eastAsia" w:ascii="仿宋" w:hAnsi="仿宋" w:eastAsia="仿宋" w:cs="仿宋"/>
          <w:sz w:val="30"/>
          <w:szCs w:val="30"/>
          <w:lang w:eastAsia="zh-CN"/>
        </w:rPr>
        <w:t>指依照《中华人民共和国拍卖法》的规定，取得拍卖师资格证书并在中国拍卖行业协会注册登记的，在单位中从事主持拍卖活动的专业人员。</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从事司辅业务人数：</w:t>
      </w:r>
      <w:r>
        <w:rPr>
          <w:rFonts w:hint="eastAsia" w:ascii="仿宋" w:hAnsi="仿宋" w:eastAsia="仿宋" w:cs="仿宋"/>
          <w:kern w:val="2"/>
          <w:sz w:val="30"/>
          <w:szCs w:val="30"/>
          <w:lang w:val="en-US" w:eastAsia="zh-CN" w:bidi="ar-SA"/>
        </w:rPr>
        <w:t>指专职从事网络司法拍卖辅助业务的在岗人员总数。</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sz w:val="30"/>
          <w:szCs w:val="30"/>
          <w:lang w:val="en-US" w:eastAsia="zh-CN"/>
        </w:rPr>
      </w:pPr>
      <w:r>
        <w:rPr>
          <w:rFonts w:hint="eastAsia" w:ascii="仿宋" w:hAnsi="仿宋" w:eastAsia="仿宋" w:cs="仿宋"/>
          <w:b/>
          <w:bCs/>
          <w:kern w:val="2"/>
          <w:sz w:val="30"/>
          <w:szCs w:val="30"/>
          <w:lang w:val="en-US" w:eastAsia="zh-CN" w:bidi="ar-SA"/>
        </w:rPr>
        <w:t>派驻法院司辅业务人数：</w:t>
      </w:r>
      <w:r>
        <w:rPr>
          <w:rFonts w:hint="eastAsia" w:ascii="仿宋" w:hAnsi="仿宋" w:eastAsia="仿宋" w:cs="仿宋"/>
          <w:kern w:val="2"/>
          <w:sz w:val="30"/>
          <w:szCs w:val="30"/>
          <w:lang w:val="en-US" w:eastAsia="zh-CN" w:bidi="ar-SA"/>
        </w:rPr>
        <w:t>指专职从事网络司法拍卖辅助业务派驻到人民法院的在岗人员总数。</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二、业务开展情况</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（一）房地产类别延伸指标：</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1.住宅：</w:t>
      </w:r>
      <w:r>
        <w:rPr>
          <w:rFonts w:hint="eastAsia" w:ascii="仿宋" w:hAnsi="仿宋" w:eastAsia="仿宋" w:cs="仿宋"/>
          <w:kern w:val="2"/>
          <w:sz w:val="30"/>
          <w:szCs w:val="30"/>
          <w:lang w:val="en-US" w:eastAsia="zh-CN" w:bidi="ar-SA"/>
        </w:rPr>
        <w:t>指专供居住用的房屋。包括商品房、保障性住房、别墅、公寓、各部门的职工家属宿舍和集体宿舍（包括职工单身宿舍和学生宿舍）等供居住的房屋。不包括住宅楼中作为人防工程用的房屋，也不包括不住人的地下室。</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2.生产用房：</w:t>
      </w:r>
      <w:r>
        <w:rPr>
          <w:rFonts w:hint="eastAsia" w:ascii="仿宋" w:hAnsi="仿宋" w:eastAsia="仿宋" w:cs="仿宋"/>
          <w:kern w:val="2"/>
          <w:sz w:val="30"/>
          <w:szCs w:val="30"/>
          <w:lang w:val="en-US" w:eastAsia="zh-CN" w:bidi="ar-SA"/>
        </w:rPr>
        <w:t>生产用房是指直接用于生产活动的建筑物，包括工业、交通运输、建筑业等部门的厂房、车间、仓库及相关辅助设施。</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3.商业营业用房：</w:t>
      </w:r>
      <w:r>
        <w:rPr>
          <w:rFonts w:hint="eastAsia" w:ascii="仿宋" w:hAnsi="仿宋" w:eastAsia="仿宋" w:cs="仿宋"/>
          <w:kern w:val="2"/>
          <w:sz w:val="30"/>
          <w:szCs w:val="30"/>
          <w:lang w:val="en-US" w:eastAsia="zh-CN" w:bidi="ar-SA"/>
        </w:rPr>
        <w:t>包括批发和零售用房、宾馆用房屋、餐饮用房屋、商务会展用房屋和其他商业及服务用房屋五类。</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4.其他：</w:t>
      </w:r>
      <w:r>
        <w:rPr>
          <w:rFonts w:hint="eastAsia" w:ascii="仿宋" w:hAnsi="仿宋" w:eastAsia="仿宋" w:cs="仿宋"/>
          <w:kern w:val="2"/>
          <w:sz w:val="30"/>
          <w:szCs w:val="30"/>
          <w:lang w:val="en-US" w:eastAsia="zh-CN" w:bidi="ar-SA"/>
        </w:rPr>
        <w:t>凡不属于上述各项用途的房屋建筑物，如中小学教学用房、托儿所、幼儿园、车库等。</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（二）无形资产延伸指标：</w:t>
      </w:r>
    </w:p>
    <w:p>
      <w:pPr>
        <w:keepNext w:val="0"/>
        <w:keepLines w:val="0"/>
        <w:pageBreakBefore w:val="0"/>
        <w:widowControl w:val="0"/>
        <w:kinsoku/>
        <w:wordWrap/>
        <w:overflowPunct/>
        <w:topLinePunct w:val="0"/>
        <w:autoSpaceDE/>
        <w:autoSpaceDN/>
        <w:bidi w:val="0"/>
        <w:snapToGrid/>
        <w:spacing w:line="560" w:lineRule="exact"/>
        <w:ind w:firstLine="602" w:firstLineChars="200"/>
        <w:rPr>
          <w:rFonts w:hint="eastAsia" w:ascii="仿宋" w:hAnsi="仿宋" w:eastAsia="仿宋" w:cs="仿宋"/>
          <w:color w:val="auto"/>
          <w:sz w:val="30"/>
          <w:szCs w:val="30"/>
          <w:lang w:val="en-US" w:eastAsia="zh-CN"/>
        </w:rPr>
      </w:pPr>
      <w:r>
        <w:rPr>
          <w:rFonts w:hint="eastAsia" w:ascii="仿宋" w:hAnsi="仿宋" w:eastAsia="仿宋" w:cs="仿宋"/>
          <w:b/>
          <w:bCs/>
          <w:color w:val="auto"/>
          <w:kern w:val="2"/>
          <w:sz w:val="30"/>
          <w:szCs w:val="30"/>
          <w:lang w:val="en-US" w:eastAsia="zh-CN" w:bidi="ar-SA"/>
        </w:rPr>
        <w:t>1.土地使用权：</w:t>
      </w:r>
      <w:r>
        <w:rPr>
          <w:rFonts w:hint="eastAsia" w:ascii="仿宋" w:hAnsi="仿宋" w:eastAsia="仿宋" w:cs="仿宋"/>
          <w:color w:val="auto"/>
          <w:kern w:val="2"/>
          <w:sz w:val="30"/>
          <w:szCs w:val="30"/>
          <w:lang w:val="en-US" w:eastAsia="zh-CN" w:bidi="ar-SA"/>
        </w:rPr>
        <w:t>略</w:t>
      </w:r>
    </w:p>
    <w:p>
      <w:pPr>
        <w:pStyle w:val="2"/>
        <w:keepNext w:val="0"/>
        <w:keepLines w:val="0"/>
        <w:pageBreakBefore w:val="0"/>
        <w:widowControl w:val="0"/>
        <w:kinsoku/>
        <w:wordWrap/>
        <w:overflowPunct/>
        <w:topLinePunct w:val="0"/>
        <w:autoSpaceDE/>
        <w:autoSpaceDN/>
        <w:bidi w:val="0"/>
        <w:snapToGrid/>
        <w:spacing w:after="0" w:afterLines="0" w:line="560" w:lineRule="exact"/>
        <w:ind w:left="0" w:leftChars="0"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2.探矿权：</w:t>
      </w:r>
      <w:r>
        <w:rPr>
          <w:rFonts w:hint="eastAsia" w:ascii="仿宋" w:hAnsi="仿宋" w:eastAsia="仿宋" w:cs="仿宋"/>
          <w:color w:val="auto"/>
          <w:kern w:val="2"/>
          <w:sz w:val="30"/>
          <w:szCs w:val="30"/>
          <w:lang w:val="en-US" w:eastAsia="zh-CN" w:bidi="ar-SA"/>
        </w:rPr>
        <w:t>在依法取得的勘查许可证规定的范围内，勘查矿产资源的权利。</w:t>
      </w:r>
    </w:p>
    <w:p>
      <w:pPr>
        <w:pStyle w:val="2"/>
        <w:keepNext w:val="0"/>
        <w:keepLines w:val="0"/>
        <w:pageBreakBefore w:val="0"/>
        <w:widowControl w:val="0"/>
        <w:kinsoku/>
        <w:wordWrap/>
        <w:overflowPunct/>
        <w:topLinePunct w:val="0"/>
        <w:autoSpaceDE/>
        <w:autoSpaceDN/>
        <w:bidi w:val="0"/>
        <w:snapToGrid/>
        <w:spacing w:after="0" w:afterLines="0" w:line="560" w:lineRule="exact"/>
        <w:ind w:left="0" w:leftChars="0"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3.采矿权：</w:t>
      </w:r>
      <w:r>
        <w:rPr>
          <w:rFonts w:hint="eastAsia" w:ascii="仿宋" w:hAnsi="仿宋" w:eastAsia="仿宋" w:cs="仿宋"/>
          <w:color w:val="auto"/>
          <w:kern w:val="2"/>
          <w:sz w:val="30"/>
          <w:szCs w:val="30"/>
          <w:lang w:val="en-US" w:eastAsia="zh-CN" w:bidi="ar-SA"/>
        </w:rPr>
        <w:t>在依法取得的采矿许可证规定的范围内，开采矿产资源和获得所开采的矿产品的权利。</w:t>
      </w:r>
    </w:p>
    <w:p>
      <w:pPr>
        <w:ind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4.其他：略</w:t>
      </w:r>
    </w:p>
    <w:p>
      <w:pPr>
        <w:pStyle w:val="2"/>
        <w:ind w:left="0" w:leftChars="0"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（三）机动车</w:t>
      </w:r>
      <w:r>
        <w:rPr>
          <w:rFonts w:hint="eastAsia" w:ascii="仿宋" w:hAnsi="仿宋" w:eastAsia="仿宋" w:cs="仿宋"/>
          <w:color w:val="auto"/>
          <w:kern w:val="2"/>
          <w:sz w:val="30"/>
          <w:szCs w:val="30"/>
          <w:lang w:val="en-US" w:eastAsia="zh-CN" w:bidi="ar-SA"/>
        </w:rPr>
        <w:t>:机动车包括未经注册登记的车辆和已办理注册登记的车辆。</w:t>
      </w:r>
    </w:p>
    <w:p>
      <w:pPr>
        <w:pStyle w:val="2"/>
        <w:ind w:left="0" w:leftChars="0"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（四）股权债权：略</w:t>
      </w:r>
    </w:p>
    <w:p>
      <w:pPr>
        <w:pStyle w:val="2"/>
        <w:ind w:left="0" w:leftChars="0"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（五）机器设备：略</w:t>
      </w:r>
    </w:p>
    <w:p>
      <w:pPr>
        <w:pStyle w:val="2"/>
        <w:ind w:left="0" w:leftChars="0"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（六）农副产品</w:t>
      </w:r>
      <w:r>
        <w:rPr>
          <w:rFonts w:hint="eastAsia" w:ascii="仿宋" w:hAnsi="仿宋" w:eastAsia="仿宋" w:cs="仿宋"/>
          <w:color w:val="auto"/>
          <w:kern w:val="2"/>
          <w:sz w:val="30"/>
          <w:szCs w:val="30"/>
          <w:lang w:val="en-US" w:eastAsia="zh-CN" w:bidi="ar-SA"/>
        </w:rPr>
        <w:t>:略</w:t>
      </w:r>
    </w:p>
    <w:p>
      <w:pPr>
        <w:pStyle w:val="2"/>
        <w:ind w:left="0" w:leftChars="0"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（七）文物艺术品：略</w:t>
      </w:r>
    </w:p>
    <w:p>
      <w:pPr>
        <w:ind w:firstLine="602" w:firstLineChars="200"/>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（八）其他：</w:t>
      </w:r>
      <w:r>
        <w:rPr>
          <w:rFonts w:hint="eastAsia" w:ascii="仿宋" w:hAnsi="仿宋" w:eastAsia="仿宋" w:cs="仿宋"/>
          <w:color w:val="auto"/>
          <w:kern w:val="2"/>
          <w:sz w:val="30"/>
          <w:szCs w:val="30"/>
          <w:lang w:val="en-US" w:eastAsia="zh-CN" w:bidi="ar-SA"/>
        </w:rPr>
        <w:t>略</w:t>
      </w:r>
    </w:p>
    <w:p>
      <w:pPr>
        <w:pStyle w:val="2"/>
        <w:keepNext w:val="0"/>
        <w:keepLines w:val="0"/>
        <w:pageBreakBefore w:val="0"/>
        <w:widowControl w:val="0"/>
        <w:kinsoku/>
        <w:wordWrap/>
        <w:overflowPunct/>
        <w:topLinePunct w:val="0"/>
        <w:autoSpaceDE/>
        <w:autoSpaceDN/>
        <w:bidi w:val="0"/>
        <w:snapToGrid/>
        <w:spacing w:after="0" w:afterLines="0" w:line="560" w:lineRule="exact"/>
        <w:ind w:left="0" w:leftChars="0" w:firstLine="602" w:firstLineChars="20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三、入驻法院情况</w:t>
      </w:r>
    </w:p>
    <w:p>
      <w:pPr>
        <w:keepNext w:val="0"/>
        <w:keepLines w:val="0"/>
        <w:pageBreakBefore w:val="0"/>
        <w:widowControl w:val="0"/>
        <w:kinsoku/>
        <w:wordWrap/>
        <w:overflowPunct/>
        <w:topLinePunct w:val="0"/>
        <w:autoSpaceDE/>
        <w:autoSpaceDN/>
        <w:bidi w:val="0"/>
        <w:spacing w:line="56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略。</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0" w:firstLineChars="200"/>
        <w:textAlignment w:val="baseline"/>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四、财务情况</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lang w:val="en-US" w:eastAsia="zh-CN"/>
        </w:rPr>
        <w:t>资产总计：</w:t>
      </w:r>
      <w:r>
        <w:rPr>
          <w:rFonts w:hint="eastAsia" w:ascii="仿宋" w:hAnsi="仿宋" w:eastAsia="仿宋" w:cs="仿宋"/>
          <w:sz w:val="30"/>
          <w:szCs w:val="30"/>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w:t>
      </w:r>
      <w:r>
        <w:rPr>
          <w:rFonts w:hint="eastAsia" w:ascii="仿宋" w:hAnsi="仿宋" w:eastAsia="仿宋" w:cs="仿宋"/>
          <w:sz w:val="30"/>
          <w:szCs w:val="30"/>
          <w:u w:val="single"/>
        </w:rPr>
        <w:t>期末余额</w:t>
      </w:r>
      <w:r>
        <w:rPr>
          <w:rFonts w:hint="eastAsia" w:ascii="仿宋" w:hAnsi="仿宋" w:eastAsia="仿宋" w:cs="仿宋"/>
          <w:sz w:val="30"/>
          <w:szCs w:val="30"/>
        </w:rPr>
        <w:t>数填报。</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sz w:val="30"/>
          <w:szCs w:val="30"/>
        </w:rPr>
      </w:pPr>
      <w:r>
        <w:rPr>
          <w:rFonts w:hint="eastAsia" w:ascii="仿宋" w:hAnsi="仿宋" w:eastAsia="仿宋" w:cs="仿宋"/>
          <w:b/>
          <w:bCs/>
          <w:sz w:val="30"/>
          <w:szCs w:val="30"/>
          <w:lang w:eastAsia="zh-CN"/>
        </w:rPr>
        <w:t>主营业务收入：</w:t>
      </w:r>
      <w:r>
        <w:rPr>
          <w:rFonts w:hint="eastAsia" w:ascii="仿宋" w:hAnsi="仿宋" w:eastAsia="仿宋" w:cs="仿宋"/>
          <w:sz w:val="30"/>
          <w:szCs w:val="30"/>
        </w:rPr>
        <w:t>指企业经营主要业务所实现的收入。如果会计“利润表”列示“主营业务收入”项目，则根据其本年累计数填报；或者，根据会计“主营业务收入”科目的本年各月贷方余额（结转前）之和填报，如未设置该科目，以“营业收入”代替填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司辅服务收入：</w:t>
      </w:r>
      <w:r>
        <w:rPr>
          <w:rFonts w:hint="eastAsia" w:ascii="仿宋" w:hAnsi="仿宋" w:eastAsia="仿宋" w:cs="仿宋"/>
          <w:sz w:val="30"/>
          <w:szCs w:val="30"/>
          <w:lang w:val="en-US" w:eastAsia="zh-CN"/>
        </w:rPr>
        <w:t>指企业通过司法拍卖辅助活动收取服务费所得收入，根据会计明细分类账相关科目筛选计算。</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lang w:eastAsia="zh-CN"/>
        </w:rPr>
        <w:t>主营业务成本：</w:t>
      </w:r>
      <w:r>
        <w:rPr>
          <w:rFonts w:hint="eastAsia" w:ascii="仿宋" w:hAnsi="仿宋" w:eastAsia="仿宋" w:cs="仿宋"/>
          <w:sz w:val="30"/>
          <w:szCs w:val="30"/>
        </w:rPr>
        <w:t>指企业经营主要业务所发生的成本总额。根据会计“主营业务成本”科目的本年各月借方余额（结转前）之和填报。如未设置该科目，以“营业成本”代替填报。</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b w:val="0"/>
          <w:bCs w:val="0"/>
          <w:sz w:val="30"/>
          <w:szCs w:val="30"/>
          <w:lang w:val="en-US" w:eastAsia="zh-CN"/>
        </w:rPr>
      </w:pPr>
      <w:r>
        <w:rPr>
          <w:rFonts w:hint="eastAsia" w:ascii="仿宋" w:hAnsi="仿宋" w:eastAsia="仿宋" w:cs="仿宋"/>
          <w:b/>
          <w:bCs/>
          <w:kern w:val="2"/>
          <w:sz w:val="30"/>
          <w:szCs w:val="30"/>
          <w:lang w:val="en-US" w:eastAsia="zh-CN" w:bidi="ar-SA"/>
        </w:rPr>
        <w:t>司辅服务成本：</w:t>
      </w:r>
      <w:r>
        <w:rPr>
          <w:rFonts w:hint="eastAsia" w:ascii="仿宋" w:hAnsi="仿宋" w:eastAsia="仿宋" w:cs="仿宋"/>
          <w:kern w:val="2"/>
          <w:sz w:val="30"/>
          <w:szCs w:val="30"/>
          <w:lang w:val="en-US" w:eastAsia="zh-CN" w:bidi="ar-SA"/>
        </w:rPr>
        <w:t>指企业在开展司法拍卖辅助活动中发生的直接成本，根据会计明细分类账相关科目筛选计算。</w:t>
      </w:r>
    </w:p>
    <w:p>
      <w:pPr>
        <w:pStyle w:val="2"/>
        <w:keepNext w:val="0"/>
        <w:keepLines w:val="0"/>
        <w:pageBreakBefore w:val="0"/>
        <w:widowControl w:val="0"/>
        <w:kinsoku/>
        <w:wordWrap/>
        <w:overflowPunct/>
        <w:topLinePunct w:val="0"/>
        <w:autoSpaceDE/>
        <w:autoSpaceDN/>
        <w:bidi w:val="0"/>
        <w:adjustRightInd w:val="0"/>
        <w:snapToGrid/>
        <w:spacing w:after="0" w:line="560" w:lineRule="exact"/>
        <w:ind w:left="0" w:leftChars="0" w:firstLine="602" w:firstLineChars="200"/>
        <w:textAlignment w:val="baseline"/>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主营业务利润：</w:t>
      </w:r>
      <w:r>
        <w:rPr>
          <w:rFonts w:hint="eastAsia" w:ascii="仿宋" w:hAnsi="仿宋" w:eastAsia="仿宋" w:cs="仿宋"/>
          <w:sz w:val="30"/>
          <w:szCs w:val="30"/>
          <w:lang w:eastAsia="zh-CN"/>
        </w:rPr>
        <w:t>又称基本业务利润，指企业通过主营业务收入扣除对应的成本及税金后形成的利润。计算公式为：主营业务利润</w:t>
      </w:r>
      <w:r>
        <w:rPr>
          <w:rFonts w:hint="eastAsia" w:ascii="仿宋" w:hAnsi="仿宋" w:eastAsia="仿宋" w:cs="仿宋"/>
          <w:sz w:val="30"/>
          <w:szCs w:val="30"/>
          <w:lang w:val="en-US" w:eastAsia="zh-CN"/>
        </w:rPr>
        <w:t>=主营业务收入-主营业务成本-主营业务税金及附加。该指标反映企业主营业务的直接盈利能力。</w:t>
      </w:r>
    </w:p>
    <w:p>
      <w:pPr>
        <w:keepNext w:val="0"/>
        <w:keepLines w:val="0"/>
        <w:pageBreakBefore w:val="0"/>
        <w:widowControl w:val="0"/>
        <w:kinsoku/>
        <w:wordWrap/>
        <w:overflowPunct/>
        <w:topLinePunct w:val="0"/>
        <w:autoSpaceDE/>
        <w:autoSpaceDN/>
        <w:bidi w:val="0"/>
        <w:spacing w:line="560" w:lineRule="exact"/>
        <w:ind w:firstLine="602" w:firstLineChars="2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企业所得税：</w:t>
      </w:r>
      <w:r>
        <w:rPr>
          <w:rFonts w:hint="eastAsia" w:ascii="仿宋" w:hAnsi="仿宋" w:eastAsia="仿宋" w:cs="仿宋"/>
          <w:sz w:val="30"/>
          <w:szCs w:val="30"/>
          <w:lang w:val="en-US" w:eastAsia="zh-CN"/>
        </w:rPr>
        <w:t>按当期实际缴纳额为准。</w:t>
      </w:r>
    </w:p>
    <w:p>
      <w:pPr>
        <w:pStyle w:val="2"/>
        <w:keepNext w:val="0"/>
        <w:keepLines w:val="0"/>
        <w:pageBreakBefore w:val="0"/>
        <w:widowControl w:val="0"/>
        <w:kinsoku/>
        <w:wordWrap/>
        <w:overflowPunct/>
        <w:topLinePunct w:val="0"/>
        <w:autoSpaceDE/>
        <w:autoSpaceDN/>
        <w:bidi w:val="0"/>
        <w:spacing w:line="560" w:lineRule="exact"/>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税金及附加：</w:t>
      </w:r>
      <w:r>
        <w:rPr>
          <w:rFonts w:hint="eastAsia" w:ascii="仿宋" w:hAnsi="仿宋" w:eastAsia="仿宋" w:cs="仿宋"/>
          <w:sz w:val="30"/>
          <w:szCs w:val="30"/>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pPr>
        <w:keepNext w:val="0"/>
        <w:keepLines w:val="0"/>
        <w:pageBreakBefore w:val="0"/>
        <w:widowControl w:val="0"/>
        <w:kinsoku/>
        <w:wordWrap/>
        <w:overflowPunct/>
        <w:topLinePunct w:val="0"/>
        <w:autoSpaceDE/>
        <w:autoSpaceDN/>
        <w:bidi w:val="0"/>
        <w:spacing w:line="560" w:lineRule="exact"/>
        <w:ind w:firstLine="600" w:firstLineChars="200"/>
        <w:rPr>
          <w:rFonts w:hint="eastAsia" w:ascii="仿宋" w:hAnsi="仿宋" w:eastAsia="仿宋" w:cs="仿宋"/>
          <w:sz w:val="30"/>
          <w:szCs w:val="30"/>
          <w:lang w:val="en-US" w:eastAsia="zh-CN"/>
        </w:rPr>
      </w:pPr>
    </w:p>
    <w:p>
      <w:pPr>
        <w:pStyle w:val="2"/>
        <w:rPr>
          <w:rFonts w:hint="eastAsia"/>
          <w:lang w:val="en-US" w:eastAsia="zh-CN"/>
        </w:rPr>
      </w:pPr>
    </w:p>
    <w:sectPr>
      <w:footerReference r:id="rId3" w:type="default"/>
      <w:pgSz w:w="11906" w:h="16838"/>
      <w:pgMar w:top="170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zMwYzc4OWRlM2QwMmQ3NGQxNmViZWRlZjM1YjgifQ=="/>
  </w:docVars>
  <w:rsids>
    <w:rsidRoot w:val="34A34F0F"/>
    <w:rsid w:val="01C14344"/>
    <w:rsid w:val="05066915"/>
    <w:rsid w:val="11D11D93"/>
    <w:rsid w:val="1D686153"/>
    <w:rsid w:val="26F930C5"/>
    <w:rsid w:val="33816EDD"/>
    <w:rsid w:val="340C4116"/>
    <w:rsid w:val="34A34F0F"/>
    <w:rsid w:val="3C54115A"/>
    <w:rsid w:val="3E231AB7"/>
    <w:rsid w:val="4E263103"/>
    <w:rsid w:val="57901896"/>
    <w:rsid w:val="70B40381"/>
    <w:rsid w:val="79FC6821"/>
    <w:rsid w:val="7AA6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autoRedefine/>
    <w:qFormat/>
    <w:uiPriority w:val="0"/>
    <w:pPr>
      <w:adjustRightInd w:val="0"/>
      <w:spacing w:line="360" w:lineRule="atLeast"/>
      <w:ind w:firstLine="600"/>
      <w:textAlignment w:val="baseline"/>
    </w:pPr>
    <w:rPr>
      <w:rFonts w:eastAsia="宋体"/>
      <w:sz w:val="3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2157</Words>
  <Characters>2180</Characters>
  <Lines>0</Lines>
  <Paragraphs>0</Paragraphs>
  <TotalTime>15</TotalTime>
  <ScaleCrop>false</ScaleCrop>
  <LinksUpToDate>false</LinksUpToDate>
  <CharactersWithSpaces>2180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2026-03-30T02:06:00Z</dcterms:created>
  <dc:creator>田利</dc:creator>
  <cp:lastModifiedBy>徐馨</cp:lastModifiedBy>
  <cp:lastPrinted>2026-04-20T07:32:26Z</cp:lastPrinted>
  <dcterms:modified xsi:type="dcterms:W3CDTF">2026-04-20T07:36:22Z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eyJoZGlkIjoiMjk0NGQ0MDg1NjI4N2Q1N2YxZTFjNzliNjFlM2ZkMDEiLCJ1c2VySWQiOiIxNzA5MDkwODQ0In0=</vt:lpwstr>
  </property>
  <property fmtid="{D5CDD505-2E9C-101B-9397-08002B2CF9AE}" pid="4" name="ICV">
    <vt:lpwstr>C570837503DC414197B374BC846DF642_13</vt:lpwstr>
  </property>
</Properties>
</file>